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ru"/>
        </w:rPr>
        <w:t>Wirtgen │ Инфраструктура укрепляет экономический рост и процветание в Пермском бассейне</w:t>
      </w:r>
    </w:p>
    <w:p w14:paraId="34A89D42" w14:textId="606C1B44" w:rsidR="007C2FEE" w:rsidRPr="00865085" w:rsidRDefault="00865085" w:rsidP="007C2FEE">
      <w:pPr>
        <w:pStyle w:val="Subhead"/>
      </w:pPr>
      <w:r>
        <w:rPr>
          <w:bCs/>
          <w:iCs w:val="0"/>
          <w:lang w:val="ru"/>
        </w:rPr>
        <w:t>Реконструкция автомагистрали в самом сердце техасского нефтяного региона</w:t>
      </w:r>
    </w:p>
    <w:p w14:paraId="43A5AB78" w14:textId="32837CE2" w:rsidR="007C2FEE" w:rsidRPr="00865085" w:rsidRDefault="00865085" w:rsidP="007C2FEE">
      <w:pPr>
        <w:pStyle w:val="Teaser"/>
      </w:pPr>
      <w:r>
        <w:rPr>
          <w:bCs/>
          <w:lang w:val="ru"/>
        </w:rPr>
        <w:t>В Пермском бассейне, самом продуктивном нефтяном месторождении США, в центре внимания – технология скользящей опалубки Wirtgen. Она используется при реконструкции обветшавшего участка межштатной автомагистрали Interstate 20 (I-20) между ключевыми центрами нефтедобычи.</w:t>
      </w:r>
    </w:p>
    <w:p w14:paraId="074FF9E2" w14:textId="7FC9DB28" w:rsidR="007C2FEE" w:rsidRPr="00865085" w:rsidRDefault="00865085" w:rsidP="00865085">
      <w:pPr>
        <w:pStyle w:val="Standardabsatz"/>
      </w:pPr>
      <w:r>
        <w:rPr>
          <w:lang w:val="ru"/>
        </w:rPr>
        <w:t xml:space="preserve">Пермский бассейн простирается более чем на 220 000 км² по территории штатов Техас и Нью-Мексико. Здесь находится один из самых прибыльных нефтедобывающих регионов США с объемом добычи 4,2 миллиона баррелей сырой нефти (около 670 млн литров) в сутки. Важнейшей автомагистралью и кратчайшим сообщением между центрами Сан-Анджело, Мидленд и Одесса является межштатная автомагистраль Interstate 20. Из-за постоянно высокой интенсивности движения инфраструктура шоссе в последние десятилетия серьезно пострадала — пробки стали привычным явлением, что тормозит экономическую эффективность региона. </w:t>
      </w:r>
    </w:p>
    <w:p w14:paraId="22320BAD" w14:textId="7DE97C46" w:rsidR="007C2FEE" w:rsidRPr="00865085" w:rsidRDefault="009C704E" w:rsidP="00BC1961">
      <w:pPr>
        <w:pStyle w:val="Absatzberschrift"/>
      </w:pPr>
      <w:r>
        <w:rPr>
          <w:bCs/>
          <w:lang w:val="ru"/>
        </w:rPr>
        <w:t>Разгрузка транспортных потоков и региональное сообщение</w:t>
      </w:r>
    </w:p>
    <w:p w14:paraId="74F6A4A4" w14:textId="5E3B06F3" w:rsidR="007C2FEE" w:rsidRPr="00865085" w:rsidRDefault="00865085" w:rsidP="007C2FEE">
      <w:pPr>
        <w:pStyle w:val="Standardabsatz"/>
      </w:pPr>
      <w:r>
        <w:rPr>
          <w:lang w:val="ru"/>
        </w:rPr>
        <w:t xml:space="preserve">Инвестируя 424 миллиона долларов США в реконструкцию 18-километрового участка маршрута между Мидлендом и Одессой, Департамент транспорта Техаса (TxDOT) подает четкий сигнал о намерении поддержать инфраструктуру нефтегазовой отрасли в Пермском бассейне. Работы включают расширение существующих полос движения, строительство новых транспортных развязок, перепроектирование съездов и въездов, а также преобразование дорог с двусторонним движением в дороги с односторонним движением. За счет расширения автомагистрали I-20 техасцы рассчитывают уменьшить загруженность участка и улучшить транспортную доступность региона. </w:t>
      </w:r>
    </w:p>
    <w:p w14:paraId="35171BA5" w14:textId="608930E7" w:rsidR="007C2FEE" w:rsidRPr="00865085" w:rsidRDefault="004B49CB" w:rsidP="00BC1961">
      <w:pPr>
        <w:pStyle w:val="Teaserhead"/>
        <w:jc w:val="left"/>
      </w:pPr>
      <w:r>
        <w:rPr>
          <w:bCs/>
          <w:lang w:val="ru"/>
        </w:rPr>
        <w:t>Многолетнее сотрудничество</w:t>
      </w:r>
    </w:p>
    <w:p w14:paraId="528C4A5A" w14:textId="7FD49ADB" w:rsidR="007C2FEE" w:rsidRPr="00865085" w:rsidRDefault="00865085" w:rsidP="007C2FEE">
      <w:pPr>
        <w:pStyle w:val="Standardabsatz"/>
      </w:pPr>
      <w:r>
        <w:rPr>
          <w:lang w:val="ru"/>
        </w:rPr>
        <w:t xml:space="preserve">Подряд на проект с использованием метода скользящей опалубки получила компания Pulice Construction. Основанная в 1956 году, с региональными представительствами в Аризоне и Техасе, компания ведет свою деятельность преимущественно в юго-западных штатах США и входит в состав корпоративной группы Dragados S.A. из Мадрида. Испанский холдинг является одной из крупнейших в мире строительных компаний. На его счету — более 7200 километров автомагистралей, 3500 километров дорог местного значения, 1500 мостов и 1400 километров тоннелей. Холдинг также выступает многолетним партнером Wirtgen Group. Поэтому для подбора необходимого для проекта парка техники компания Pulice обратилась к экспертам из Германии. </w:t>
      </w:r>
    </w:p>
    <w:p w14:paraId="3711A9DB" w14:textId="772E6000" w:rsidR="00865085" w:rsidRPr="00865085" w:rsidRDefault="00865085" w:rsidP="007C2FEE">
      <w:pPr>
        <w:pStyle w:val="Standardabsatz"/>
      </w:pPr>
      <w:r>
        <w:rPr>
          <w:lang w:val="ru"/>
        </w:rPr>
        <w:t xml:space="preserve">«Мы выбрали технику Wirtgen, поскольку она широко используется нашим материнским концерном в Европе», – объясняет Род Роглин, руководитель по </w:t>
      </w:r>
      <w:r>
        <w:rPr>
          <w:lang w:val="ru"/>
        </w:rPr>
        <w:lastRenderedPageBreak/>
        <w:t>эксплуатации и техническому обслуживанию оборудования Pulice. В число недавно приобретенных машин компании входит высокопроизводительный бетоноукладочный комплекс, состоящий из бокового загрузчика WPS 102i, бетоноукладчика со скользящими формами с укладкой «между гусениц» (Inset) SP 94i и финишера-текстурщика TCM 180i. «На наш взгляд, эта превосходная техника предлагает гораздо больше возможностей», – отмечает опытный менеджер по оборудованию.</w:t>
      </w:r>
    </w:p>
    <w:p w14:paraId="017F21BC" w14:textId="4925E898" w:rsidR="00865085" w:rsidRPr="00947BD9" w:rsidRDefault="00865085" w:rsidP="00947BD9">
      <w:pPr>
        <w:pStyle w:val="Absatzberschrift"/>
        <w:rPr>
          <w:b w:val="0"/>
          <w:bCs/>
          <w:i/>
          <w:iCs/>
        </w:rPr>
      </w:pPr>
      <w:bookmarkStart w:id="0" w:name="_Hlk230244679"/>
      <w:r>
        <w:rPr>
          <w:b w:val="0"/>
          <w:i/>
          <w:iCs/>
          <w:lang w:val="ru"/>
        </w:rPr>
        <w:t>WPS 102i</w:t>
      </w:r>
      <w:bookmarkEnd w:id="0"/>
      <w:r>
        <w:rPr>
          <w:b w:val="0"/>
          <w:i/>
          <w:iCs/>
          <w:lang w:val="ru"/>
        </w:rPr>
        <w:t xml:space="preserve"> – высокоэффективное и равномерное распределение бетонной смеси</w:t>
      </w:r>
    </w:p>
    <w:p w14:paraId="171104BF" w14:textId="54AA7CDF" w:rsidR="00865085" w:rsidRPr="00865085" w:rsidRDefault="00865085" w:rsidP="007C2FEE">
      <w:pPr>
        <w:pStyle w:val="Standardabsatz"/>
      </w:pPr>
      <w:r>
        <w:rPr>
          <w:lang w:val="ru"/>
        </w:rPr>
        <w:t>2-гусеничный боковой загрузчик и распределитель предварительно укладывает бетонную смесь полосами шириной от 4 до 12 м и толщиной до 500 мм. Благодаря гидравлически телескопируемой раме машины и модульному отвалу для разравнивания бетона, рабочую ширину можно быстро изменить. WPS 102i оснащен интеллектуальной концепцией управления, обеспечивающей интуитивно понятные рабочие процессы. Складной ленточный конвейер облегчает маневрирование автобетоносмесителей, что способствует бесперебойной подаче бетона.</w:t>
      </w:r>
    </w:p>
    <w:p w14:paraId="7B0005AB" w14:textId="165C90B8" w:rsidR="00865085" w:rsidRPr="00947BD9" w:rsidRDefault="00865085" w:rsidP="00947BD9">
      <w:pPr>
        <w:pStyle w:val="Absatzberschrift"/>
        <w:rPr>
          <w:b w:val="0"/>
          <w:bCs/>
          <w:i/>
          <w:iCs/>
        </w:rPr>
      </w:pPr>
      <w:r>
        <w:rPr>
          <w:b w:val="0"/>
          <w:i/>
          <w:iCs/>
          <w:lang w:val="ru"/>
        </w:rPr>
        <w:t>SP 94i – полностью модульный бетоноукладчик со скользящими формами с укладкой «между гусениц» (Inset) 9-метрового класса</w:t>
      </w:r>
    </w:p>
    <w:p w14:paraId="03A5055A" w14:textId="00911591" w:rsidR="00865085" w:rsidRPr="00865085" w:rsidRDefault="00865085" w:rsidP="00947BD9">
      <w:pPr>
        <w:pStyle w:val="Standardabsatz"/>
        <w:spacing w:after="0"/>
      </w:pPr>
      <w:r>
        <w:rPr>
          <w:lang w:val="ru"/>
        </w:rPr>
        <w:t>SP 94i отличается огромным разнообразием вариантов применения при реализации масштабных дорожно-строительных проектов. Он обеспечивает ширину укладки от 3,5 м до 9,5 м и толщину бетонного покрытия до 45 см. Экономичный 4-гусеничный бетоноукладчик оснащен бетоноукладочным оборудованием, разработанным специально для нужд североамериканского региона. Бетоноукладочное оборудование состоит из плужного распределителя, опалубки дорожного полотна с автоматической настройкой двухскатного профиля и вставками для контроля осадки кромок (Edge Slump Control), гидравлических вибраторов, боковой секционной опалубки и выглаживающей лыжи. Оборудование может быть адаптировано к любым требованиям к укладке дорожного покрытия. 3D-системы легко интегрируются в систему управления машины через интерфейс, что обеспечивает укладку без копирной струны с высочайшей точностью.</w:t>
      </w:r>
    </w:p>
    <w:p w14:paraId="79B93D22" w14:textId="58F5026A" w:rsidR="00865085" w:rsidRPr="00865085" w:rsidRDefault="00865085" w:rsidP="00865085">
      <w:pPr>
        <w:pStyle w:val="Standardabsatz"/>
      </w:pPr>
      <w:r>
        <w:rPr>
          <w:lang w:val="ru"/>
        </w:rPr>
        <w:t>Благодаря модульной конструкции машины, возможности простого переоборудования и доукомплектации, а также гидравлическим поворотным кронштейном и углу поворота рулевого колеса в 90 градусов машину можно быстро адаптировать к конкретным условиям на строительной площадке. Таким образом, перевести машину из транспортного положения в рабочее можно за считанные минуты – без необходимости демонтажа бетоноукладочного оборудования или продольного разравнивателя. SP 94i можно дополнительно укомплектовать автоматическим погружателем дюбелей, боковыми погружателями анкеров или центральными укладчиками анкеров. Системы позволяют осуществлять машинную установку арматуры в ходе процесса.</w:t>
      </w:r>
    </w:p>
    <w:p w14:paraId="7D65CEDB" w14:textId="7A774193" w:rsidR="00865085" w:rsidRPr="00947BD9" w:rsidRDefault="00865085" w:rsidP="00947BD9">
      <w:pPr>
        <w:pStyle w:val="Absatzberschrift"/>
        <w:rPr>
          <w:b w:val="0"/>
          <w:bCs/>
          <w:i/>
          <w:iCs/>
        </w:rPr>
      </w:pPr>
      <w:r>
        <w:rPr>
          <w:b w:val="0"/>
          <w:i/>
          <w:iCs/>
          <w:lang w:val="ru"/>
        </w:rPr>
        <w:t>TCM 180i – оптимальная текстура и защита бетонных поверхностей шириной до 18 метров</w:t>
      </w:r>
    </w:p>
    <w:p w14:paraId="2954D276" w14:textId="28FC891B" w:rsidR="00865085" w:rsidRPr="00865085" w:rsidRDefault="00865085" w:rsidP="00865085">
      <w:pPr>
        <w:pStyle w:val="Standardabsatz"/>
      </w:pPr>
      <w:r>
        <w:rPr>
          <w:lang w:val="ru"/>
        </w:rPr>
        <w:t xml:space="preserve">Модульная конструкция бетоноотделочной машины TCM 180i  позволяет адаптировать ее к рабочей ширине от 4 м до 18 м. Самоходный финишер создает требуемую текстуру на поверхности свежеуложенного бетона. Автоматизированная распределительная система (система нанесения </w:t>
      </w:r>
      <w:r>
        <w:rPr>
          <w:lang w:val="ru"/>
        </w:rPr>
        <w:lastRenderedPageBreak/>
        <w:t>пленкообразующего состава) оснащена большим резервуаром и защищает поверхность бетона от преждевременного высыхания.</w:t>
      </w:r>
    </w:p>
    <w:p w14:paraId="6B0D4E7C" w14:textId="7B24A327" w:rsidR="007C2FEE" w:rsidRPr="00A65CE8" w:rsidRDefault="00A65CE8" w:rsidP="007C2FEE">
      <w:pPr>
        <w:pStyle w:val="Teaserhead"/>
      </w:pPr>
      <w:r>
        <w:rPr>
          <w:bCs/>
          <w:lang w:val="ru"/>
        </w:rPr>
        <w:t>Консультации и инструктаж стали решающими факторами успеха</w:t>
      </w:r>
    </w:p>
    <w:p w14:paraId="7888EB8C" w14:textId="083EAC50" w:rsidR="007C2FEE" w:rsidRPr="00865085" w:rsidRDefault="00865085" w:rsidP="00865085">
      <w:pPr>
        <w:pStyle w:val="Standardabsatz"/>
      </w:pPr>
      <w:r>
        <w:rPr>
          <w:lang w:val="ru"/>
        </w:rPr>
        <w:t>Еще до начала строительных работ эксперты Pulice и Wirtgen совместно сформировали необходимые бригады и подобрали технику. Для обеспечения оптимальных результатов все операторы машин прошли инструктаж на своих новых рабочих местах. «Понадобилось время, чтобы привыкнуть и запомнить все элементы управления и алгоритмы действий», — рассказал Алехандро Гевара, который первым взял на себя управление WPS 102i на объекте. «Но теперь я чувствую себя уверенно при работе с этой машиной». А Марсиаль Лоа III добавляет: «Очень волнительно осознавать, что у нас есть такая современная техника. И теперь нам не терпится показать, на что она способна».</w:t>
      </w:r>
    </w:p>
    <w:p w14:paraId="494241EE" w14:textId="703DB21C" w:rsidR="00865085" w:rsidRPr="00865085" w:rsidRDefault="00865085" w:rsidP="00865085">
      <w:pPr>
        <w:pStyle w:val="Standardabsatz"/>
      </w:pPr>
      <w:r>
        <w:rPr>
          <w:lang w:val="ru"/>
        </w:rPr>
        <w:t>Под внимательным взглядом Тима Нэша, директора по бетонным технологиям для Wirtgen America с января 2013 года, новые машины продемонстрировали весь свой потенциал уже в первый день. Первое впечатление Нэша: «При работе со свежим бетоном практически нет места для ошибок. Сегодня к концу смены компания Pulice только за первый день уложит 305 кубических метров бетона. Пока все идет хорошо». Бригады дорожников на объекте также остались в восторге от технологии скользящей опалубки Wirtgen. «На этом проекте мы постоянно учимся чему-то новому», – говорит Ромеро Бенавидес, бетонщик-отделочник в Pulice Construction, и добавляет: «Этот опыт пригодится нам и на следующих объектах. Сейчас каждый уже знает свое место и задачи, так что в будущем мы сможем работать еще лучше и быстрее».</w:t>
      </w:r>
    </w:p>
    <w:p w14:paraId="5CA71E2D" w14:textId="01736009" w:rsidR="00865085" w:rsidRPr="00865085" w:rsidRDefault="00865085" w:rsidP="00865085">
      <w:pPr>
        <w:pStyle w:val="Standardabsatz"/>
      </w:pPr>
      <w:r>
        <w:rPr>
          <w:lang w:val="ru"/>
        </w:rPr>
        <w:t>Для Техасского департамента транспорта (TxDOT) и правления округа Одесса заложен прочный фундамент для успешного будущего. Реализация этих проектов, направленных на повышение безопасности и мобильности, вносит значительный вклад в укрепление промышленности этого региона и обеспечение доставок его продукции в остальную часть мира», — резюмирует окружной инженер Эрик Лайкинс.</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ru"/>
        </w:rPr>
        <w:t>Фотографии:</w:t>
      </w:r>
    </w:p>
    <w:p w14:paraId="06345839" w14:textId="77777777" w:rsidR="00BC487A" w:rsidRPr="00865085" w:rsidRDefault="00BC487A" w:rsidP="00BC487A">
      <w:pPr>
        <w:rPr>
          <w:rFonts w:eastAsiaTheme="minorHAnsi" w:cstheme="minorBidi"/>
          <w:b/>
          <w:sz w:val="22"/>
          <w:szCs w:val="24"/>
        </w:rPr>
      </w:pPr>
    </w:p>
    <w:p w14:paraId="10AF8B22" w14:textId="519A0CEA" w:rsidR="000D357E" w:rsidRPr="007F7688" w:rsidRDefault="004F310D" w:rsidP="007F7688">
      <w:pPr>
        <w:pStyle w:val="BUbold"/>
        <w:spacing w:after="220"/>
        <w:rPr>
          <w:b w:val="0"/>
          <w:bCs/>
        </w:rPr>
      </w:pPr>
      <w:r>
        <w:rPr>
          <w:b w:val="0"/>
          <w:noProof/>
          <w:lang w:val="ru"/>
        </w:rPr>
        <w:drawing>
          <wp:inline distT="0" distB="0" distL="0" distR="0" wp14:anchorId="7381CA24" wp14:editId="6FD735F6">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bookmarkStart w:id="1" w:name="_Hlk230341575"/>
      <w:r>
        <w:rPr>
          <w:bCs/>
          <w:lang w:val="ru"/>
        </w:rPr>
        <w:t>w_pic_pulice_wps102i_sp94i_tcm180i_0016</w:t>
      </w:r>
      <w:bookmarkEnd w:id="1"/>
      <w:r>
        <w:rPr>
          <w:b w:val="0"/>
          <w:lang w:val="ru"/>
        </w:rPr>
        <w:br/>
        <w:t>Бетоноукладочный комплекс Wirtgen, состоящий из бокового загрузчика WPS 102i, бетоноукладчика со скользящими формами для укладки бетона «между гусениц» (Inset) SP 94i и финишера TCM 180i , обеспечивает согласованную и точную укладку нового дорожного покрытия.</w:t>
      </w:r>
      <w:r>
        <w:rPr>
          <w:bCs/>
          <w:lang w:val="ru"/>
        </w:rPr>
        <w:t xml:space="preserve"> </w:t>
      </w:r>
    </w:p>
    <w:p w14:paraId="6BBBB646" w14:textId="12DEA86D" w:rsidR="007C2FEE" w:rsidRPr="00865085" w:rsidRDefault="004F310D" w:rsidP="007C2FEE">
      <w:pPr>
        <w:pStyle w:val="BUbold"/>
      </w:pPr>
      <w:r>
        <w:rPr>
          <w:b w:val="0"/>
          <w:noProof/>
          <w:lang w:val="ru"/>
        </w:rPr>
        <w:lastRenderedPageBreak/>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bookmarkStart w:id="2" w:name="_Hlk230341589"/>
      <w:r>
        <w:rPr>
          <w:bCs/>
          <w:lang w:val="ru"/>
        </w:rPr>
        <w:t>w_pic_pulice_wps102i_0014</w:t>
      </w:r>
      <w:bookmarkEnd w:id="2"/>
    </w:p>
    <w:p w14:paraId="01C2D456" w14:textId="71034AD0" w:rsidR="004F310D" w:rsidRDefault="004F310D" w:rsidP="007F7688">
      <w:pPr>
        <w:pStyle w:val="BUnormal"/>
        <w:rPr>
          <w:lang w:val="ru"/>
        </w:rPr>
      </w:pPr>
      <w:r>
        <w:rPr>
          <w:lang w:val="ru"/>
        </w:rPr>
        <w:t xml:space="preserve">Wirtgen WPS 102i: 2-гусеничный боковой загрузчик и распределитель предварительно укладывает бетонную смесь полосами шириной от 4 до 12 м и толщиной до 500 мм. </w:t>
      </w:r>
    </w:p>
    <w:p w14:paraId="2659F86A" w14:textId="77777777" w:rsidR="00CF23BB" w:rsidRPr="00CF23BB" w:rsidRDefault="00CF23BB" w:rsidP="00CF23BB">
      <w:pPr>
        <w:pStyle w:val="Note"/>
        <w:rPr>
          <w:i w:val="0"/>
          <w:iCs/>
          <w:lang w:val="ru"/>
        </w:rPr>
      </w:pPr>
    </w:p>
    <w:p w14:paraId="2A58A85B" w14:textId="10122C0B" w:rsidR="004F310D" w:rsidRPr="004F310D" w:rsidRDefault="004F310D" w:rsidP="004F310D">
      <w:pPr>
        <w:pStyle w:val="BUbold"/>
        <w:rPr>
          <w:b w:val="0"/>
          <w:bCs/>
        </w:rPr>
      </w:pPr>
      <w:r>
        <w:rPr>
          <w:b w:val="0"/>
          <w:noProof/>
          <w:lang w:val="ru"/>
        </w:rPr>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bookmarkStart w:id="3" w:name="_Hlk230341598"/>
      <w:r>
        <w:rPr>
          <w:bCs/>
          <w:lang w:val="ru"/>
        </w:rPr>
        <w:t>w_pic_pulice_sp94i_0003</w:t>
      </w:r>
      <w:bookmarkEnd w:id="3"/>
      <w:r>
        <w:rPr>
          <w:b w:val="0"/>
          <w:lang w:val="ru"/>
        </w:rPr>
        <w:br/>
        <w:t xml:space="preserve">Бетоноукладчик со скользящими формами для укладки бетона «между гусениц» (Inset) SP 94i Wirtgen оснащен бетоноукладочным оборудованием, разработанным специально для нужд североамериканского региона. </w:t>
      </w:r>
    </w:p>
    <w:p w14:paraId="263F7EFC" w14:textId="2BC6B901" w:rsidR="004F310D" w:rsidRPr="00CF23BB" w:rsidRDefault="004F310D" w:rsidP="00CF23BB">
      <w:pPr>
        <w:pStyle w:val="Note"/>
        <w:rPr>
          <w:i w:val="0"/>
          <w:iCs/>
          <w:lang w:val="ru"/>
        </w:rPr>
      </w:pPr>
    </w:p>
    <w:p w14:paraId="776754B5" w14:textId="76FA5EE3" w:rsidR="007F7688" w:rsidRPr="004F310D" w:rsidRDefault="007F7688" w:rsidP="007F7688">
      <w:pPr>
        <w:pStyle w:val="BUbold"/>
        <w:rPr>
          <w:b w:val="0"/>
          <w:bCs/>
        </w:rPr>
      </w:pPr>
      <w:r>
        <w:rPr>
          <w:b w:val="0"/>
          <w:noProof/>
          <w:lang w:val="ru"/>
        </w:rPr>
        <w:drawing>
          <wp:inline distT="0" distB="0" distL="0" distR="0" wp14:anchorId="5229AC46" wp14:editId="2CB7A2D9">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ru"/>
        </w:rPr>
        <w:br/>
      </w:r>
      <w:bookmarkStart w:id="4" w:name="_Hlk230341615"/>
      <w:r>
        <w:rPr>
          <w:bCs/>
          <w:lang w:val="ru"/>
        </w:rPr>
        <w:t>w_pic_pulice_tcm180i_0008</w:t>
      </w:r>
      <w:bookmarkEnd w:id="4"/>
      <w:r>
        <w:rPr>
          <w:b w:val="0"/>
          <w:lang w:val="ru"/>
        </w:rPr>
        <w:br/>
        <w:t>Самоходный финишер TCM 180i  создает требуемую текстуру на поверхности свежеуложенного бетона</w:t>
      </w:r>
    </w:p>
    <w:p w14:paraId="17C52010" w14:textId="77777777" w:rsidR="004F310D" w:rsidRPr="00865085" w:rsidRDefault="004F310D" w:rsidP="004F310D">
      <w:pPr>
        <w:pStyle w:val="BUnormal"/>
      </w:pPr>
    </w:p>
    <w:p w14:paraId="6C87B1A9" w14:textId="77777777" w:rsidR="00CF23BB" w:rsidRDefault="00CF23BB">
      <w:pPr>
        <w:rPr>
          <w:b/>
          <w:bCs/>
          <w:sz w:val="22"/>
          <w:szCs w:val="22"/>
          <w:lang w:val="ru"/>
        </w:rPr>
      </w:pPr>
      <w:r>
        <w:rPr>
          <w:b/>
          <w:bCs/>
          <w:sz w:val="22"/>
          <w:szCs w:val="22"/>
          <w:lang w:val="ru"/>
        </w:rPr>
        <w:br w:type="page"/>
      </w:r>
    </w:p>
    <w:p w14:paraId="41BFEB0C" w14:textId="381A85B1" w:rsidR="00BE6237" w:rsidRPr="00865085" w:rsidRDefault="00BE6237" w:rsidP="00BE6237">
      <w:pPr>
        <w:rPr>
          <w:sz w:val="22"/>
          <w:szCs w:val="22"/>
        </w:rPr>
      </w:pPr>
      <w:r>
        <w:rPr>
          <w:b/>
          <w:bCs/>
          <w:sz w:val="22"/>
          <w:szCs w:val="22"/>
          <w:lang w:val="ru"/>
        </w:rPr>
        <w:lastRenderedPageBreak/>
        <w:t>Видео:</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ru"/>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CF23BB" w:rsidP="00BE6237">
      <w:pPr>
        <w:spacing w:after="160" w:line="278" w:lineRule="auto"/>
      </w:pPr>
      <w:hyperlink r:id="rId13" w:history="1">
        <w:r w:rsidR="00A6221E">
          <w:rPr>
            <w:rStyle w:val="Hyperlink"/>
            <w:sz w:val="20"/>
            <w:szCs w:val="20"/>
            <w:lang w:val="ru"/>
          </w:rPr>
          <w:t>Для просмотра видео щелкните здесь.</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ru"/>
        </w:rPr>
        <w:fldChar w:fldCharType="begin"/>
      </w:r>
      <w:r>
        <w:rPr>
          <w:rFonts w:eastAsia="Times New Roman"/>
          <w:color w:val="0070C0"/>
          <w:sz w:val="20"/>
          <w:szCs w:val="20"/>
          <w:lang w:val="ru"/>
        </w:rPr>
        <w:instrText>HYPERLINK "https://www.youtube.com/@WirtgenGroup"</w:instrText>
      </w:r>
      <w:r>
        <w:rPr>
          <w:rFonts w:eastAsia="Times New Roman"/>
          <w:color w:val="0070C0"/>
          <w:sz w:val="20"/>
          <w:szCs w:val="20"/>
          <w:lang w:val="ru"/>
        </w:rPr>
        <w:fldChar w:fldCharType="separate"/>
      </w:r>
      <w:r>
        <w:rPr>
          <w:rFonts w:eastAsia="Times New Roman"/>
          <w:b/>
          <w:bCs/>
          <w:color w:val="0070C0"/>
          <w:sz w:val="20"/>
          <w:szCs w:val="20"/>
          <w:u w:val="single"/>
          <w:lang w:val="ru"/>
        </w:rPr>
        <w:t>Больше видео вы найдете на YouTube-канале Wirtgen Group</w:t>
      </w:r>
      <w:r>
        <w:rPr>
          <w:rFonts w:eastAsia="Times New Roman"/>
          <w:b/>
          <w:bCs/>
          <w:color w:val="0070C0"/>
          <w:sz w:val="20"/>
          <w:szCs w:val="20"/>
          <w:u w:val="single"/>
          <w:lang w:val="ru"/>
        </w:rPr>
        <w:fldChar w:fldCharType="end"/>
      </w:r>
      <w:r>
        <w:rPr>
          <w:rFonts w:eastAsia="Times New Roman"/>
          <w:b/>
          <w:bCs/>
          <w:color w:val="0070C0"/>
          <w:sz w:val="20"/>
          <w:szCs w:val="20"/>
          <w:u w:val="single"/>
          <w:lang w:val="ru"/>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ru"/>
        </w:rPr>
        <w:t>Примечание: настоящие фотографии предназначены только для предварительного просмотра. В печати в публикациях размещайте фотографии с разрешением 300 точек на дюйм (см. прилагаемые материалы для скачивания).</w:t>
      </w:r>
    </w:p>
    <w:p w14:paraId="41346621" w14:textId="77777777" w:rsidR="00980313" w:rsidRPr="00865085" w:rsidRDefault="00980313" w:rsidP="00A96B2E">
      <w:pPr>
        <w:pStyle w:val="Note"/>
      </w:pPr>
    </w:p>
    <w:p w14:paraId="717825D0" w14:textId="4B1B0DAB" w:rsidR="00B409DF" w:rsidRPr="00865085" w:rsidRDefault="00B409DF" w:rsidP="00B409DF">
      <w:pPr>
        <w:pStyle w:val="Absatzberschrift"/>
        <w:rPr>
          <w:iCs/>
        </w:rPr>
      </w:pPr>
      <w:r>
        <w:rPr>
          <w:bCs/>
          <w:lang w:val="ru"/>
        </w:rPr>
        <w:t>Контакты для получения дополнительной информации:</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ru"/>
        </w:rPr>
        <w:t>WIRTGEN GROUP</w:t>
      </w:r>
    </w:p>
    <w:p w14:paraId="392C6846" w14:textId="77777777" w:rsidR="00B409DF" w:rsidRPr="00865085" w:rsidRDefault="00B409DF" w:rsidP="00B409DF">
      <w:pPr>
        <w:pStyle w:val="Fuzeile1"/>
      </w:pPr>
      <w:r>
        <w:rPr>
          <w:bCs w:val="0"/>
          <w:iCs w:val="0"/>
          <w:lang w:val="ru"/>
        </w:rPr>
        <w:t>Public Relations</w:t>
      </w:r>
    </w:p>
    <w:p w14:paraId="77A90FFB" w14:textId="77777777" w:rsidR="00B409DF" w:rsidRPr="00865085" w:rsidRDefault="00B409DF" w:rsidP="00B409DF">
      <w:pPr>
        <w:pStyle w:val="Fuzeile1"/>
      </w:pPr>
      <w:r>
        <w:rPr>
          <w:bCs w:val="0"/>
          <w:iCs w:val="0"/>
          <w:lang w:val="ru"/>
        </w:rPr>
        <w:t>Reinhard-Wirtgen-Straße 2</w:t>
      </w:r>
    </w:p>
    <w:p w14:paraId="2BD7061F" w14:textId="77777777" w:rsidR="00B409DF" w:rsidRPr="00865085" w:rsidRDefault="00B409DF" w:rsidP="00B409DF">
      <w:pPr>
        <w:pStyle w:val="Fuzeile1"/>
      </w:pPr>
      <w:r>
        <w:rPr>
          <w:bCs w:val="0"/>
          <w:iCs w:val="0"/>
          <w:lang w:val="ru"/>
        </w:rPr>
        <w:t>53578 Windhagen</w:t>
      </w:r>
    </w:p>
    <w:p w14:paraId="7312A980" w14:textId="77777777" w:rsidR="00B409DF" w:rsidRPr="00865085" w:rsidRDefault="00B409DF" w:rsidP="00B409DF">
      <w:pPr>
        <w:pStyle w:val="Fuzeile1"/>
      </w:pPr>
      <w:r>
        <w:rPr>
          <w:bCs w:val="0"/>
          <w:iCs w:val="0"/>
          <w:lang w:val="ru"/>
        </w:rPr>
        <w:t>Германия</w:t>
      </w:r>
    </w:p>
    <w:p w14:paraId="2DFD9654" w14:textId="77777777" w:rsidR="00B409DF" w:rsidRPr="00865085" w:rsidRDefault="00B409DF" w:rsidP="00B409DF">
      <w:pPr>
        <w:pStyle w:val="Fuzeile1"/>
      </w:pPr>
    </w:p>
    <w:p w14:paraId="747CCDAF" w14:textId="78D0EB80" w:rsidR="00B409DF" w:rsidRPr="00865085" w:rsidRDefault="00B409DF" w:rsidP="00CF23BB">
      <w:pPr>
        <w:pStyle w:val="Fuzeile1"/>
        <w:tabs>
          <w:tab w:val="left" w:pos="1985"/>
        </w:tabs>
        <w:rPr>
          <w:rFonts w:ascii="Times New Roman" w:hAnsi="Times New Roman" w:cs="Times New Roman"/>
        </w:rPr>
      </w:pPr>
      <w:r>
        <w:rPr>
          <w:bCs w:val="0"/>
          <w:iCs w:val="0"/>
          <w:lang w:val="ru"/>
        </w:rPr>
        <w:t>Телефон:</w:t>
      </w:r>
      <w:r>
        <w:rPr>
          <w:bCs w:val="0"/>
          <w:iCs w:val="0"/>
          <w:lang w:val="ru"/>
        </w:rPr>
        <w:tab/>
        <w:t>+49 (0) 2645 131 – 1966</w:t>
      </w:r>
    </w:p>
    <w:p w14:paraId="72EBA31D" w14:textId="369121F8" w:rsidR="00B409DF" w:rsidRPr="00865085" w:rsidRDefault="00B409DF" w:rsidP="00CF23BB">
      <w:pPr>
        <w:pStyle w:val="Fuzeile1"/>
        <w:tabs>
          <w:tab w:val="left" w:pos="1985"/>
        </w:tabs>
      </w:pPr>
      <w:r>
        <w:rPr>
          <w:bCs w:val="0"/>
          <w:iCs w:val="0"/>
          <w:lang w:val="ru"/>
        </w:rPr>
        <w:t>Факс:</w:t>
      </w:r>
      <w:r>
        <w:rPr>
          <w:bCs w:val="0"/>
          <w:iCs w:val="0"/>
          <w:lang w:val="ru"/>
        </w:rPr>
        <w:tab/>
        <w:t>+49 (0) 2645 131 – 499</w:t>
      </w:r>
    </w:p>
    <w:p w14:paraId="54DD8925" w14:textId="01E7877D" w:rsidR="00B409DF" w:rsidRPr="00865085" w:rsidRDefault="00B409DF" w:rsidP="00CF23BB">
      <w:pPr>
        <w:pStyle w:val="Fuzeile1"/>
        <w:tabs>
          <w:tab w:val="left" w:pos="1985"/>
        </w:tabs>
      </w:pPr>
      <w:r>
        <w:rPr>
          <w:bCs w:val="0"/>
          <w:iCs w:val="0"/>
          <w:lang w:val="ru"/>
        </w:rPr>
        <w:t>Эл. почта:</w:t>
      </w:r>
      <w:r>
        <w:rPr>
          <w:bCs w:val="0"/>
          <w:iCs w:val="0"/>
          <w:lang w:val="ru"/>
        </w:rPr>
        <w:tab/>
      </w:r>
      <w:hyperlink r:id="rId14" w:history="1">
        <w:r>
          <w:rPr>
            <w:rStyle w:val="Hyperlink"/>
            <w:bCs w:val="0"/>
            <w:iCs w:val="0"/>
            <w:lang w:val="ru"/>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CF23BB" w:rsidP="00B409DF">
      <w:pPr>
        <w:pStyle w:val="Fuzeile1"/>
      </w:pPr>
      <w:hyperlink r:id="rId15" w:history="1">
        <w:r w:rsidR="00A6221E">
          <w:rPr>
            <w:rStyle w:val="Hyperlink"/>
            <w:bCs w:val="0"/>
            <w:iCs w:val="0"/>
            <w:lang w:val="ru"/>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ru"/>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ru"/>
            </w:rPr>
            <w:fldChar w:fldCharType="begin"/>
          </w:r>
          <w:r>
            <w:rPr>
              <w:szCs w:val="20"/>
              <w:lang w:val="ru"/>
            </w:rPr>
            <w:instrText xml:space="preserve"> PAGE \# "00"</w:instrText>
          </w:r>
          <w:r>
            <w:rPr>
              <w:szCs w:val="20"/>
              <w:lang w:val="ru"/>
            </w:rPr>
            <w:fldChar w:fldCharType="separate"/>
          </w:r>
          <w:r>
            <w:rPr>
              <w:noProof/>
              <w:szCs w:val="20"/>
              <w:lang w:val="ru"/>
            </w:rPr>
            <w:t>02</w:t>
          </w:r>
          <w:r>
            <w:rPr>
              <w:szCs w:val="20"/>
              <w:lang w:val="ru"/>
            </w:rPr>
            <w:fldChar w:fldCharType="end"/>
          </w:r>
        </w:p>
      </w:tc>
    </w:tr>
  </w:tbl>
  <w:p w14:paraId="7CF7D2C8" w14:textId="77777777" w:rsidR="00533132" w:rsidRDefault="00BD5391">
    <w:pPr>
      <w:pStyle w:val="Fuzeile"/>
    </w:pPr>
    <w:r>
      <w:rPr>
        <w:noProof/>
        <w:lang w:val="ru"/>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ru"/>
            </w:rPr>
            <w:t>WIRTGEN GmbH</w:t>
          </w:r>
          <w:r>
            <w:rPr>
              <w:szCs w:val="20"/>
              <w:lang w:val="ru"/>
            </w:rPr>
            <w:t xml:space="preserve"> · Reinhard-Wirtgen-Str. 2 · D-53578 Windhagen · Tел.: +49 26 45 / 131 0</w:t>
          </w:r>
        </w:p>
      </w:tc>
    </w:tr>
  </w:tbl>
  <w:p w14:paraId="732BEB33" w14:textId="77777777" w:rsidR="00533132" w:rsidRDefault="00BD5391">
    <w:pPr>
      <w:pStyle w:val="Fuzeile"/>
    </w:pPr>
    <w:r>
      <w:rPr>
        <w:noProof/>
        <w:lang w:val="ru"/>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ru"/>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ru"/>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ru"/>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Public</w:t>
                    </w:r>
                  </w:p>
                </w:txbxContent>
              </v:textbox>
              <w10:wrap type="square" anchorx="margin"/>
            </v:shape>
          </w:pict>
        </mc:Fallback>
      </mc:AlternateContent>
    </w:r>
    <w:r>
      <w:rPr>
        <w:noProof/>
        <w:lang w:val="ru"/>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ru"/>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ru"/>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ru"/>
                        <w:b w:val="0"/>
                        <w:bCs w:val="0"/>
                        <w:i w:val="0"/>
                        <w:iCs w:val="0"/>
                        <w:u w:val="none"/>
                        <w:vertAlign w:val="baseline"/>
                        <w:rtl w:val="0"/>
                      </w:rPr>
                      <w:t xml:space="preserve">Company Use</w:t>
                    </w:r>
                  </w:p>
                </w:txbxContent>
              </v:textbox>
              <w10:wrap type="square" anchorx="margin"/>
            </v:shape>
          </w:pict>
        </mc:Fallback>
      </mc:AlternateContent>
    </w:r>
    <w:r>
      <w:rPr>
        <w:noProof/>
        <w:lang w:val="ru"/>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ru"/>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ru"/>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23BB"/>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1260</Words>
  <Characters>7939</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9181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